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F3670" w14:textId="322FA714" w:rsidR="00741F9C" w:rsidRPr="00741F9C" w:rsidRDefault="00741F9C" w:rsidP="00741F9C">
      <w:pPr>
        <w:spacing w:after="120" w:line="360" w:lineRule="auto"/>
        <w:ind w:left="567" w:right="777"/>
        <w:rPr>
          <w:rFonts w:ascii="Amazone Camingo Office" w:hAnsi="Amazone Camingo Office" w:cs="Arial"/>
          <w:b/>
          <w:bCs/>
          <w:sz w:val="28"/>
          <w:szCs w:val="28"/>
        </w:rPr>
      </w:pPr>
      <w:r>
        <w:rPr>
          <w:rFonts w:ascii="Amazone Camingo Office" w:hAnsi="Amazone Camingo Office"/>
          <w:b/>
          <w:sz w:val="28"/>
        </w:rPr>
        <w:t>AMAZONE ZG-TX: Aktualizacja serii sprawia, że rozsiewacz wielofunkcyjny jest jeszcze bardziej precyzyjny i wszechstronny</w:t>
      </w:r>
    </w:p>
    <w:p w14:paraId="4837BA74" w14:textId="7177BA7A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i/>
        </w:rPr>
      </w:pPr>
      <w:r>
        <w:rPr>
          <w:rFonts w:ascii="Amazone Camingo Office" w:hAnsi="Amazone Camingo Office"/>
          <w:i/>
        </w:rPr>
        <w:t>Rozszerzone funkcje zwiększają precyzję, komfort obsługi i zakres zastosowań</w:t>
      </w:r>
    </w:p>
    <w:p w14:paraId="03E2EDD1" w14:textId="77777777" w:rsidR="004A4E71" w:rsidRPr="00F23F25" w:rsidRDefault="004A4E71" w:rsidP="00921FE3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1338EA0C" w14:textId="2BF52574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Dzięki kompleksowej aktualizacji serii, AMAZONE rozszerza możliwości zastosowania rozsiewacza wielofunkcyjnego ZG-TX. Nowe funkcje, zintegrowany system ważenia oraz automatyczna regulacja dawki FlowControl dla wapna zwiększają jednocześnie precyzję i poprawiają komfort obsługi.</w:t>
      </w:r>
    </w:p>
    <w:p w14:paraId="09778AE8" w14:textId="1C6EC41F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Model AMAZONE ZG-TX ugruntował swoją pozycję jako wydajny rozsiewacz wielofunkcyjny, przeznaczony do precyzyjnego rozsiewania nawozów mineralnych i wapna. Indywidualne wyposażenie dostosowane do każdego zastosowania oraz możliwość bardzo precyzyjnego aplikowania najróżniejszych rodzajów nawozów sprawiają, że jest to wszechstronne rozwiązanie dla profesjonalnych przedsiębiorstw rolnych, firm usługowych oraz wypożyczania sprzętu.</w:t>
      </w:r>
    </w:p>
    <w:p w14:paraId="4A1890C4" w14:textId="77777777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Precyzyjny system ważenia zapewniający większą kontrolę podczas pracy</w:t>
      </w:r>
    </w:p>
    <w:p w14:paraId="2B7688AB" w14:textId="3016E546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Nowością jest zintegrowany system ważenia, który zapewnia dokładny odczyt poziomu napełnienia oraz umożliwia łatwą regulację ilości wapna i nawozów mineralnych w trybie offline. Podczas ważenia wykorzystywane są 2 trwałe czujniki wagowe umieszczone między osią a ramą oraz dodatkowy czujnik w zaczepie. Masa rozsiewanego materiału jest czytelnie wyświetlana na terminalu obsługowym ISOBUS.</w:t>
      </w:r>
    </w:p>
    <w:p w14:paraId="7D65DD50" w14:textId="34D8CC3B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W połączeniu z opcjonalnymi reflektorami roboczymi system ważenia wspomaga zarządzanie napełnianiem. Migające oświetlenie robocze sygnalizuje poziom napełnienia zbiornika i umożliwia precyzyjne napełnianie do docelowej ilości. Pozwala to zmniejszyć ilości resztek i usprawnić przebieg pracy.</w:t>
      </w:r>
    </w:p>
    <w:p w14:paraId="47E8340F" w14:textId="228EBFCB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Dzięki integracji z oprogramowaniem ISOBUS system ważenia umożliwia ponadto łatwą kalibrację dawek wapna i nawozów mineralnych. Po rozrzuceniu określonej dawki </w:t>
      </w:r>
      <w:r>
        <w:rPr>
          <w:rFonts w:ascii="Amazone Camingo Office" w:hAnsi="Amazone Camingo Office"/>
        </w:rPr>
        <w:lastRenderedPageBreak/>
        <w:t>rejestrowana jest masa w zbiorniku, na podstawie której obliczany jest współczynnik kalibracji. Nie jest wymagane ręczne określenie gęstości. Umożliwia to teraz precyzyjne dozowanie najróżniejszych materiałów.</w:t>
      </w:r>
    </w:p>
    <w:p w14:paraId="3221EFCD" w14:textId="416B318F" w:rsidR="00741F9C" w:rsidRPr="00741F9C" w:rsidRDefault="00523A08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FlowControl dla dawki wapna – precyzyjna regulacja ilości poprzez pomiar momentu obrotowego</w:t>
      </w:r>
    </w:p>
    <w:p w14:paraId="5AF968D5" w14:textId="5EF7C664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Kolejnym kluczowym elementem aktualizacji serii jest automatyczna regulacja dawki FlowControl dla wapna. Zastosowanie nowo opracowanych przekładni pozwala na wykorzystanie znanego z techniki nawożenia pomiaru momentu obrotowego, również podczas rozsiewania wapna.</w:t>
      </w:r>
    </w:p>
    <w:p w14:paraId="2D3799A8" w14:textId="15E097BB" w:rsidR="00741F9C" w:rsidRPr="00741F9C" w:rsidRDefault="00270901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Zakres dawkowania jest z góry ustalany, a system FlowControl automatycznie i w sposób ciągły dostosowuje dawkowanie. Dzięki temu nawet przy zróżnicowanej jakości wapna zapewniona jest wysoka dokładność dawkowania.</w:t>
      </w:r>
    </w:p>
    <w:p w14:paraId="490E998C" w14:textId="757CECDC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 xml:space="preserve">Dostępność dla różnych modeli ZG-TX </w:t>
      </w:r>
    </w:p>
    <w:p w14:paraId="50256FB1" w14:textId="56D79033" w:rsidR="00741F9C" w:rsidRPr="00741F9C" w:rsidRDefault="00741F9C" w:rsidP="005B13D3">
      <w:pPr>
        <w:spacing w:after="120" w:line="360" w:lineRule="auto"/>
        <w:ind w:left="567" w:right="1587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Oba systemy są już dostępne dla wszystkich typów produktów z serii ZG-TX wyposażonych w ISOBUS. Dotyczy to zarówno modelu ZG-TX Super o maksymalnej dopuszczalnej masie maszyny wynoszącej 21 t, jak i modelu ZG-TX Special o masie 12,5 t.</w:t>
      </w:r>
    </w:p>
    <w:p w14:paraId="473ABF5A" w14:textId="0CE789FC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Aktualizacja serii pozwala modelowi ZG-TX ugruntować swoją pozycję jako wielofunkcyjnego rozsiewacza, przystosowanego do najróżniejszych warunków pracy. Zastosowanie tego rozwiązania zapewnia użytkownikom dużą elastyczność przy jednoczesnym precyzyjnym rozsiewaniu różnych rodzajów materiału.</w:t>
      </w:r>
    </w:p>
    <w:p w14:paraId="33CA2393" w14:textId="3D8ADC79" w:rsidR="007639FE" w:rsidRPr="00F23F25" w:rsidRDefault="007639FE" w:rsidP="004A4E71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p w14:paraId="6CC37E2A" w14:textId="3AAE4407" w:rsidR="00093638" w:rsidRDefault="00093638">
      <w:pPr>
        <w:rPr>
          <w:rFonts w:ascii="Amazone Camingo Office" w:hAnsi="Amazone Camingo Office" w:cs="Arial"/>
          <w:bCs/>
        </w:rPr>
      </w:pPr>
      <w:r>
        <w:br w:type="page"/>
      </w:r>
    </w:p>
    <w:p w14:paraId="235768FC" w14:textId="4FD77EB8" w:rsidR="004271A8" w:rsidRDefault="005F71EB" w:rsidP="007639FE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/>
          <w:noProof/>
        </w:rPr>
        <w:lastRenderedPageBreak/>
        <w:drawing>
          <wp:inline distT="0" distB="0" distL="0" distR="0" wp14:anchorId="4EA03696" wp14:editId="46A56C40">
            <wp:extent cx="4572000" cy="3432092"/>
            <wp:effectExtent l="0" t="0" r="0" b="0"/>
            <wp:docPr id="222927483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2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49E0E" w14:textId="6AB60DBA" w:rsidR="007639FE" w:rsidRDefault="004271A8" w:rsidP="00E719F0">
      <w:pPr>
        <w:spacing w:after="120" w:line="360" w:lineRule="auto"/>
        <w:ind w:left="567" w:right="1047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/>
        </w:rPr>
        <w:t>Model ZG-TX łączy w sobie wszechstronną technologię z precyzyjnym rozsiewaniem. Warianty wyposażenia obejmują zarówno proste rozsiewacze wapna, jak i w pełni wyposażone rozsiewacze wielofunkcyjne, zapewniające elastyczność stosowania nawozów mineralnych i wapna korzystając z tylko jednej maszyny.</w:t>
      </w:r>
    </w:p>
    <w:p w14:paraId="7FBB8B04" w14:textId="30E60E10" w:rsidR="004271A8" w:rsidRDefault="005B13D3" w:rsidP="004271A8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 w:cs="Arial"/>
          <w:b/>
          <w:bCs/>
          <w:noProof/>
          <w:sz w:val="28"/>
          <w:szCs w:val="28"/>
        </w:rPr>
        <w:drawing>
          <wp:inline distT="0" distB="0" distL="0" distR="0" wp14:anchorId="04B65BCD" wp14:editId="3FCFF703">
            <wp:extent cx="5029200" cy="2842040"/>
            <wp:effectExtent l="0" t="0" r="0" b="0"/>
            <wp:docPr id="406260585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9" t="12459" r="5141" b="13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4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271A8">
        <w:rPr>
          <w:rFonts w:ascii="Amazone Camingo Office" w:hAnsi="Amazone Camingo Office"/>
        </w:rPr>
        <w:t>Zwarte czujniki wagowe zapewniają dokładny odczyt poziomu napełnienia i umożliwiają łatwą kalibrację dawki bez konieczności ręcznego ważenia.</w:t>
      </w:r>
    </w:p>
    <w:p w14:paraId="198C715D" w14:textId="77777777" w:rsidR="004271A8" w:rsidRPr="004271A8" w:rsidRDefault="004271A8" w:rsidP="004271A8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p w14:paraId="16A5DEC4" w14:textId="77777777" w:rsidR="005B13D3" w:rsidRDefault="005B13D3" w:rsidP="004271A8">
      <w:pPr>
        <w:spacing w:after="120" w:line="360" w:lineRule="auto"/>
        <w:ind w:left="567" w:right="1695"/>
        <w:rPr>
          <w:rFonts w:ascii="Amazone Camingo Office" w:hAnsi="Amazone Camingo Office"/>
        </w:rPr>
      </w:pPr>
      <w:r>
        <w:rPr>
          <w:rFonts w:ascii="Amazone Camingo Office" w:hAnsi="Amazone Camingo Office" w:cs="Arial"/>
          <w:i/>
          <w:iCs/>
          <w:noProof/>
          <w:color w:val="FF0000"/>
        </w:rPr>
        <w:drawing>
          <wp:inline distT="0" distB="0" distL="0" distR="0" wp14:anchorId="6D4626FB" wp14:editId="636BF62D">
            <wp:extent cx="5029200" cy="3356293"/>
            <wp:effectExtent l="0" t="0" r="0" b="0"/>
            <wp:docPr id="189250865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356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36597" w14:textId="09D6F5F1" w:rsidR="004271A8" w:rsidRPr="004271A8" w:rsidRDefault="004271A8" w:rsidP="004271A8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/>
        </w:rPr>
        <w:t xml:space="preserve">Nowe przekładnie zapewniają teraz również automatyczną regulację dawki FlowControl, umożliwiającą precyzyjne rozsiewanie wapna, nawet przy jego zmiennych właściwościach. </w:t>
      </w:r>
    </w:p>
    <w:p w14:paraId="22CC0134" w14:textId="745FD23A" w:rsidR="005B13D3" w:rsidRDefault="005B13D3">
      <w:pPr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 w:cs="Arial"/>
          <w:bCs/>
        </w:rPr>
        <w:br w:type="page"/>
      </w:r>
    </w:p>
    <w:p w14:paraId="1B10F0C9" w14:textId="77777777" w:rsidR="004A4E71" w:rsidRPr="00F23F25" w:rsidRDefault="004A4E71">
      <w:pPr>
        <w:rPr>
          <w:rFonts w:ascii="Amazone Camingo Office" w:hAnsi="Amazone Camingo Office" w:cs="Arial"/>
          <w:bCs/>
        </w:rPr>
      </w:pPr>
    </w:p>
    <w:p w14:paraId="0756E9C2" w14:textId="77777777" w:rsidR="00A42ED2" w:rsidRPr="00F23F25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t>Ilustracje, treść i dane techniczne są niezobowiązujące i mogą odbiegać od rzeczywistego wyposażenia. Stosuj się do obowiązujących na terenie danego kraju przepisów drogowych, włącznie z koniecznością uzyskania odpowiedniego zezwolenia. Należy sprawdzić dopuszczalne obciążenia osi i masę całkowitą maszyny. Niektóre z podanych możliwości konfiguracji nie są dostępne dla wszystkich ciągników.</w:t>
      </w:r>
    </w:p>
    <w:p w14:paraId="2C525DFE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</w:p>
    <w:p w14:paraId="6EEC9AAF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b/>
          <w:color w:val="808080" w:themeColor="background1" w:themeShade="80"/>
          <w:sz w:val="20"/>
        </w:rPr>
        <w:t>O FIRMIE AMAZONE</w:t>
      </w:r>
    </w:p>
    <w:p w14:paraId="05F71B5F" w14:textId="123BE467" w:rsidR="0006424B" w:rsidRPr="00F23F25" w:rsidRDefault="0006424B" w:rsidP="0058356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Ta prowadzona przez właścicieli firma zatrudnia około 2700 osób w 8 zakładach produkcyjnych, centralnym magazynie części Global Parts Center i centrum maszyn używanych Global Machinery Center oraz 11 firmach dystrybucyjnych. Asortyment maszyn rolniczych obejmuje urządzenia do uprawy gleby, siewniki, rozsiewacze nawozów, opryskiwacze polowe i pielniki. Z uwagi na swoje doświadczenie firma AMAZONE jest dziś specjalistą w zakresie „inteligentnej uprawy roślin”. AMAZONE oferuje również wszechstronne maszyny komunalne do pielęgnacji parków i terenów zielonych oraz do zimowego utrzymania dróg. Więcej informacji: </w:t>
      </w:r>
      <w:hyperlink r:id="rId11" w:history="1">
        <w:r w:rsidR="005B13D3" w:rsidRPr="00C5737A">
          <w:rPr>
            <w:rStyle w:val="Hyperlink"/>
            <w:rFonts w:ascii="Amazone Camingo Office" w:hAnsi="Amazone Camingo Office"/>
            <w:sz w:val="20"/>
          </w:rPr>
          <w:t>www.amazone.pl</w:t>
        </w:r>
      </w:hyperlink>
    </w:p>
    <w:p w14:paraId="73E1BF49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/>
        </w:rPr>
      </w:pPr>
      <w:r>
        <w:rPr>
          <w:rFonts w:ascii="Amazone Camingo Office" w:hAnsi="Amazone Camingo Office"/>
          <w:noProof/>
          <w:color w:val="0563C1"/>
        </w:rPr>
        <w:drawing>
          <wp:inline distT="0" distB="0" distL="0" distR="0" wp14:anchorId="414511C4" wp14:editId="11C774F5">
            <wp:extent cx="241300" cy="241300"/>
            <wp:effectExtent l="0" t="0" r="6350" b="6350"/>
            <wp:docPr id="13" name="Grafik 13" descr="Obraz zawierający symbol.&#10;&#10;Treści generowane przez sztuczną inteligencję mogą zawierać błędy.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BDE8BEF" wp14:editId="13AB1AC1">
            <wp:extent cx="241300" cy="241300"/>
            <wp:effectExtent l="0" t="0" r="6350" b="6350"/>
            <wp:docPr id="12" name="Grafik 12" descr="Obraz zawierający okrąg i wzór.&#10;&#10;Treści generowane przez sztuczną inteligencję mogą zawierać błędy.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62E2A2B" wp14:editId="5414751C">
            <wp:extent cx="241300" cy="241300"/>
            <wp:effectExtent l="0" t="0" r="6350" b="6350"/>
            <wp:docPr id="11" name="Grafik 11" descr="Obraz zawierający okrąg i wzór.&#10;&#10;Treści generowane przez sztuczną inteligencję mogą zawierać błędy.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FDD8392" wp14:editId="600D4E0E">
            <wp:extent cx="241300" cy="241300"/>
            <wp:effectExtent l="0" t="0" r="6350" b="6350"/>
            <wp:docPr id="10" name="Grafik 10" descr="Obraz zawierający symbol, okrąg.&#10;&#10;Treści generowane przez sztuczną inteligencję mogą zawierać błędy.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79785D01" wp14:editId="1994DB1D">
            <wp:extent cx="241300" cy="241300"/>
            <wp:effectExtent l="0" t="0" r="6350" b="6350"/>
            <wp:docPr id="7" name="Grafik 7" descr="Obraz zawierający tekst, symbol i wzór.&#10;&#10;Treści generowane przez sztuczną inteligencję mogą zawierać błędy.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</w:p>
    <w:p w14:paraId="36744111" w14:textId="77777777" w:rsidR="00A42ED2" w:rsidRPr="00F23F25" w:rsidRDefault="00A42ED2" w:rsidP="00A42ED2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sectPr w:rsidR="00A42ED2" w:rsidRPr="00F23F25" w:rsidSect="00C7362D">
      <w:headerReference w:type="default" r:id="rId27"/>
      <w:footerReference w:type="default" r:id="rId28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1D99B4" w14:textId="77777777" w:rsidR="006D2D94" w:rsidRDefault="006D2D94">
      <w:r>
        <w:separator/>
      </w:r>
    </w:p>
  </w:endnote>
  <w:endnote w:type="continuationSeparator" w:id="0">
    <w:p w14:paraId="25EE9BA4" w14:textId="77777777" w:rsidR="006D2D94" w:rsidRDefault="006D2D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8B72A010-D57A-4E61-B409-7E83C12C4BC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3311897-3E7B-4776-8935-036AA5D2CF2D}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C7223C5E-0BB4-418B-A376-5BF9E61D9065}"/>
  </w:font>
  <w:font w:name="Amazone Camingo Office">
    <w:panose1 w:val="020B0506040302020203"/>
    <w:charset w:val="00"/>
    <w:family w:val="swiss"/>
    <w:pitch w:val="variable"/>
    <w:sig w:usb0="A00002FF" w:usb1="0000207B" w:usb2="00000000" w:usb3="00000000" w:csb0="00000097" w:csb1="00000000"/>
    <w:embedRegular r:id="rId4" w:fontKey="{1EF55F50-E08F-416D-B0C7-557CF4775C9D}"/>
    <w:embedBold r:id="rId5" w:fontKey="{BCE13EB6-28BD-4270-9F50-CE7E6EC6A3CE}"/>
    <w:embedItalic r:id="rId6" w:fontKey="{EB62C1A6-0A08-4A36-9F99-6948BE49CC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E13FB27-1FD4-4939-8CE9-8CDD1199512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900F73C5-EF11-4D19-89E2-CB026CE974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4227DD" w14:textId="77777777" w:rsidR="005E0980" w:rsidRPr="00BB33E1" w:rsidRDefault="00147389" w:rsidP="00D211D5">
    <w:pPr>
      <w:pStyle w:val="Fuzeile"/>
      <w:tabs>
        <w:tab w:val="clear" w:pos="4536"/>
        <w:tab w:val="clear" w:pos="9072"/>
        <w:tab w:val="left" w:pos="3138"/>
      </w:tabs>
      <w:rPr>
        <w:rFonts w:ascii="Amazone Camingo Office" w:hAnsi="Amazone Camingo Office"/>
      </w:rPr>
    </w:pP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AB41326" wp14:editId="594F6109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57141DC" w14:textId="77777777" w:rsidR="005E0980" w:rsidRPr="00F23F25" w:rsidRDefault="005E0980" w:rsidP="006F7755">
                          <w:pPr>
                            <w:ind w:right="57"/>
                            <w:jc w:val="right"/>
                            <w:rPr>
                              <w:rFonts w:ascii="Amazone Camingo Office" w:hAnsi="Amazone Camingo Office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Strona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PAGE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z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NUMPAGES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B41326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57141DC" w14:textId="77777777" w:rsidR="005E0980" w:rsidRPr="00F23F25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mazone Camingo Office" w:hAnsi="Amazone Camingo Office"/>
                      </w:rPr>
                    </w:pPr>
                    <w:r>
                      <w:rPr>
                        <w:sz w:val="20"/>
                        <w:rFonts w:ascii="Amazone Camingo Office" w:hAnsi="Amazone Camingo Office"/>
                      </w:rPr>
                      <w:t xml:space="preserve">Strona </w: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begin"/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instrText xml:space="preserve"> PAGE </w:instrTex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separate"/>
                    </w:r>
                    <w:r w:rsidR="00212FC9" w:rsidRPr="00F23F25">
                      <w:rPr>
                        <w:sz w:val="20"/>
                        <w:rFonts w:ascii="Amazone Camingo Office" w:hAnsi="Amazone Camingo Office"/>
                      </w:rPr>
                      <w:t>2</w: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end"/>
                    </w:r>
                    <w:r>
                      <w:rPr>
                        <w:sz w:val="20"/>
                        <w:rFonts w:ascii="Amazone Camingo Office" w:hAnsi="Amazone Camingo Office"/>
                      </w:rPr>
                      <w:t xml:space="preserve"> z </w: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begin" w:dirty="true"/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instrText xml:space="preserve"> NUMPAGES </w:instrTex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separate"/>
                    </w:r>
                    <w:r w:rsidR="00212FC9" w:rsidRPr="00F23F25">
                      <w:rPr>
                        <w:sz w:val="20"/>
                        <w:rFonts w:ascii="Amazone Camingo Office" w:hAnsi="Amazone Camingo Office"/>
                      </w:rPr>
                      <w:t>2</w: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54A7401" wp14:editId="24512D1F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DBAD035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593CC12C" wp14:editId="0ACB96B2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96E13C0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3F60D8BF" wp14:editId="0167E61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382A84A" w14:textId="77777777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H. DREYER SE &amp; Co. KG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 Amazonenwerk 9–13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D-49205 Hasbergen-Gaste, Niemcy</w:t>
                          </w:r>
                        </w:p>
                        <w:p w14:paraId="667EE9A9" w14:textId="25F4D083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Telefon +49 (0)5405 501-0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amazone@amazone.de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www.amazone.</w:t>
                          </w:r>
                          <w:r w:rsidR="005B13D3">
                            <w:rPr>
                              <w:rFonts w:ascii="Amazone Camingo Office" w:hAnsi="Amazone Camingo Office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F60D8BF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2382A84A" w14:textId="77777777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AMAZONEN-WERKE 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H. DREYER SE &amp; Co. KG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 Amazonenwerk 9–13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D-49205 Hasbergen-Gaste, Niemcy</w:t>
                    </w:r>
                  </w:p>
                  <w:p w14:paraId="667EE9A9" w14:textId="25F4D083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Telefon +49 (0)5405 501-0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amazone@amazone.de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www.amazone.</w:t>
                    </w:r>
                    <w:r w:rsidR="005B13D3">
                      <w:rPr>
                        <w:rFonts w:ascii="Amazone Camingo Office" w:hAnsi="Amazone Camingo Office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13E4E4" w14:textId="77777777" w:rsidR="006D2D94" w:rsidRDefault="006D2D94">
      <w:r>
        <w:separator/>
      </w:r>
    </w:p>
  </w:footnote>
  <w:footnote w:type="continuationSeparator" w:id="0">
    <w:p w14:paraId="0CB6E177" w14:textId="77777777" w:rsidR="006D2D94" w:rsidRDefault="006D2D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704323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A67B441" wp14:editId="177AEBA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43A1E2D" w14:textId="7F99BA48" w:rsidR="004A4E71" w:rsidRPr="00F23F25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mazone Camingo Office" w:hAnsi="Amazone Camingo Office"/>
                              <w:color w:val="FFFFFF" w:themeColor="background1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color w:val="FFFFFF" w:themeColor="background1"/>
                              <w:sz w:val="28"/>
                            </w:rPr>
                            <w:t>Komunikat prasowy – lipiec 2026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67B441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343A1E2D" w14:textId="7F99BA48" w:rsidR="004A4E71" w:rsidRPr="00F23F25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  <w:rFonts w:ascii="Amazone Camingo Office" w:hAnsi="Amazone Camingo Office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mazone Camingo Office" w:hAnsi="Amazone Camingo Office"/>
                      </w:rPr>
                      <w:t xml:space="preserve">Komunikat prasowy – lipiec 2026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1AEDE19" wp14:editId="0C8B580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EDD8EBD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58BCAA15" wp14:editId="58D5C18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32392A2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B6ECA24" wp14:editId="044D75F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1F4D25E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6ECA2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21F4D25E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1F9C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0C9A"/>
    <w:rsid w:val="00013C90"/>
    <w:rsid w:val="000148C6"/>
    <w:rsid w:val="00020A73"/>
    <w:rsid w:val="0002199A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2A2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512"/>
    <w:rsid w:val="00057C80"/>
    <w:rsid w:val="00061F15"/>
    <w:rsid w:val="00062B82"/>
    <w:rsid w:val="00063402"/>
    <w:rsid w:val="0006424B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1E4"/>
    <w:rsid w:val="00093638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6237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ED9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0D1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B6C0A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2272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06D1B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B78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375"/>
    <w:rsid w:val="00265D6C"/>
    <w:rsid w:val="0026750E"/>
    <w:rsid w:val="00270901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4B78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D5E69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3FD9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72E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CD3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4D38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49AD"/>
    <w:rsid w:val="00425508"/>
    <w:rsid w:val="004271A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ACA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95D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25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05A9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A08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36DA4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60A3"/>
    <w:rsid w:val="005778C5"/>
    <w:rsid w:val="00577F08"/>
    <w:rsid w:val="00580534"/>
    <w:rsid w:val="00580557"/>
    <w:rsid w:val="00581AB9"/>
    <w:rsid w:val="005822E8"/>
    <w:rsid w:val="00582445"/>
    <w:rsid w:val="0058265D"/>
    <w:rsid w:val="00582BD3"/>
    <w:rsid w:val="00583562"/>
    <w:rsid w:val="00583933"/>
    <w:rsid w:val="0058582A"/>
    <w:rsid w:val="00586056"/>
    <w:rsid w:val="005866E2"/>
    <w:rsid w:val="00586FC0"/>
    <w:rsid w:val="005874E0"/>
    <w:rsid w:val="00595C48"/>
    <w:rsid w:val="00597574"/>
    <w:rsid w:val="00597ADE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13D3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1C43"/>
    <w:rsid w:val="005E2376"/>
    <w:rsid w:val="005E62F4"/>
    <w:rsid w:val="005E79F7"/>
    <w:rsid w:val="005F0AE3"/>
    <w:rsid w:val="005F0C40"/>
    <w:rsid w:val="005F12CA"/>
    <w:rsid w:val="005F16D2"/>
    <w:rsid w:val="005F18BD"/>
    <w:rsid w:val="005F71EB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4657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04B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C6917"/>
    <w:rsid w:val="006D24A3"/>
    <w:rsid w:val="006D2A85"/>
    <w:rsid w:val="006D2D94"/>
    <w:rsid w:val="006D2F24"/>
    <w:rsid w:val="006D4215"/>
    <w:rsid w:val="006D5DE3"/>
    <w:rsid w:val="006D6692"/>
    <w:rsid w:val="006E21AA"/>
    <w:rsid w:val="006E33BB"/>
    <w:rsid w:val="006E3615"/>
    <w:rsid w:val="006E4F5D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9C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63D3"/>
    <w:rsid w:val="008A7806"/>
    <w:rsid w:val="008A7EE2"/>
    <w:rsid w:val="008B2A4F"/>
    <w:rsid w:val="008B46CC"/>
    <w:rsid w:val="008B55FD"/>
    <w:rsid w:val="008B6364"/>
    <w:rsid w:val="008B6BF1"/>
    <w:rsid w:val="008B6DD5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446"/>
    <w:rsid w:val="00964E5C"/>
    <w:rsid w:val="009675BD"/>
    <w:rsid w:val="00970890"/>
    <w:rsid w:val="009725D6"/>
    <w:rsid w:val="00972808"/>
    <w:rsid w:val="00974341"/>
    <w:rsid w:val="00974FF7"/>
    <w:rsid w:val="00975FA5"/>
    <w:rsid w:val="00980319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20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5FE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E78B9"/>
    <w:rsid w:val="00AF0C65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97BA9"/>
    <w:rsid w:val="00BA4B47"/>
    <w:rsid w:val="00BA4D0F"/>
    <w:rsid w:val="00BA752F"/>
    <w:rsid w:val="00BA7C6D"/>
    <w:rsid w:val="00BB0614"/>
    <w:rsid w:val="00BB098E"/>
    <w:rsid w:val="00BB33E1"/>
    <w:rsid w:val="00BB52B1"/>
    <w:rsid w:val="00BB694A"/>
    <w:rsid w:val="00BC0CB9"/>
    <w:rsid w:val="00BC314C"/>
    <w:rsid w:val="00BC37A8"/>
    <w:rsid w:val="00BC42DF"/>
    <w:rsid w:val="00BC48BE"/>
    <w:rsid w:val="00BC5A72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5398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461F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3223"/>
    <w:rsid w:val="00D24F19"/>
    <w:rsid w:val="00D266B0"/>
    <w:rsid w:val="00D27AE6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87BC3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0DE0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02B"/>
    <w:rsid w:val="00DD0A86"/>
    <w:rsid w:val="00DD366B"/>
    <w:rsid w:val="00DD394E"/>
    <w:rsid w:val="00DD430B"/>
    <w:rsid w:val="00DD482B"/>
    <w:rsid w:val="00DD6BE1"/>
    <w:rsid w:val="00DD7415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3757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19F0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C671F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7CC"/>
    <w:rsid w:val="00F17918"/>
    <w:rsid w:val="00F214BC"/>
    <w:rsid w:val="00F23D17"/>
    <w:rsid w:val="00F23F25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19A2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275B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E6BDE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7B66B390"/>
  <w15:docId w15:val="{DA0E89C4-F2C5-486D-80B8-F9E5AE8C42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5B13D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mazone.pl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7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AMAZONE_PI_20260604_b_Amazone%20Camingo%20Offic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Vorlage_AMAZONE_PI_20260604_b_Amazone Camingo Office.dotx</Template>
  <TotalTime>0</TotalTime>
  <Pages>5</Pages>
  <Words>609</Words>
  <Characters>4399</Characters>
  <Application>Microsoft Office Word</Application>
  <DocSecurity>0</DocSecurity>
  <Lines>81</Lines>
  <Paragraphs>22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4986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komunikatu prasowego</dc:title>
  <dc:subject/>
  <dc:creator>Berelsmann Nadine</dc:creator>
  <cp:keywords/>
  <dc:description/>
  <cp:lastModifiedBy>Berelsmann Nadine</cp:lastModifiedBy>
  <cp:revision>7</cp:revision>
  <cp:lastPrinted>2010-02-24T09:10:00Z</cp:lastPrinted>
  <dcterms:created xsi:type="dcterms:W3CDTF">2026-06-25T08:44:00Z</dcterms:created>
  <dcterms:modified xsi:type="dcterms:W3CDTF">2026-07-15T09:04:00Z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